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541" w:rsidRDefault="00CF6541" w:rsidP="00CF6541">
      <w:pPr>
        <w:pStyle w:val="BodyA"/>
        <w:jc w:val="center"/>
        <w:rPr>
          <w:rFonts w:ascii="Calibri" w:eastAsia="Calibri" w:hAnsi="Calibri" w:cs="Calibri"/>
          <w:noProof/>
          <w:lang w:val="fr-CH"/>
        </w:rPr>
      </w:pPr>
    </w:p>
    <w:p w:rsidR="00CF6541" w:rsidRDefault="00CF6541" w:rsidP="00CF6541">
      <w:pPr>
        <w:pStyle w:val="BodyA"/>
        <w:jc w:val="center"/>
        <w:rPr>
          <w:rFonts w:ascii="Calibri" w:eastAsia="Calibri" w:hAnsi="Calibri" w:cs="Calibri"/>
        </w:rPr>
      </w:pPr>
      <w:r>
        <w:rPr>
          <w:rFonts w:ascii="Calibri" w:eastAsia="Calibri" w:hAnsi="Calibri" w:cs="Calibri"/>
          <w:noProof/>
          <w:lang w:val="fr-CH"/>
        </w:rPr>
        <w:drawing>
          <wp:inline distT="0" distB="0" distL="0" distR="0">
            <wp:extent cx="2695575" cy="542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hr_logo_colour.jpg"/>
                    <pic:cNvPicPr/>
                  </pic:nvPicPr>
                  <pic:blipFill>
                    <a:blip r:embed="rId6">
                      <a:extLst>
                        <a:ext uri="{28A0092B-C50C-407E-A947-70E740481C1C}">
                          <a14:useLocalDpi xmlns:a14="http://schemas.microsoft.com/office/drawing/2010/main" val="0"/>
                        </a:ext>
                      </a:extLst>
                    </a:blip>
                    <a:stretch>
                      <a:fillRect/>
                    </a:stretch>
                  </pic:blipFill>
                  <pic:spPr>
                    <a:xfrm>
                      <a:off x="0" y="0"/>
                      <a:ext cx="2695575" cy="542925"/>
                    </a:xfrm>
                    <a:prstGeom prst="rect">
                      <a:avLst/>
                    </a:prstGeom>
                  </pic:spPr>
                </pic:pic>
              </a:graphicData>
            </a:graphic>
          </wp:inline>
        </w:drawing>
      </w:r>
    </w:p>
    <w:p w:rsidR="00CF6541" w:rsidRDefault="00CF6541" w:rsidP="00CF6541">
      <w:pPr>
        <w:pStyle w:val="BodyA"/>
        <w:rPr>
          <w:rFonts w:ascii="Calibri" w:eastAsia="Calibri" w:hAnsi="Calibri" w:cs="Calibri"/>
        </w:rPr>
      </w:pPr>
    </w:p>
    <w:p w:rsidR="001F1BBD" w:rsidRDefault="00E15DD9" w:rsidP="00CF6541">
      <w:pPr>
        <w:pStyle w:val="BodyA"/>
        <w:rPr>
          <w:rFonts w:ascii="Calibri" w:eastAsia="Calibri" w:hAnsi="Calibri" w:cs="Calibri"/>
        </w:rPr>
      </w:pPr>
      <w:r>
        <w:rPr>
          <w:rFonts w:ascii="Calibri" w:eastAsia="Calibri" w:hAnsi="Calibri" w:cs="Calibri"/>
        </w:rPr>
        <w:t xml:space="preserve">Thank you, </w:t>
      </w:r>
      <w:proofErr w:type="spellStart"/>
      <w:r>
        <w:rPr>
          <w:rFonts w:ascii="Calibri" w:eastAsia="Calibri" w:hAnsi="Calibri" w:cs="Calibri"/>
        </w:rPr>
        <w:t>Mr</w:t>
      </w:r>
      <w:proofErr w:type="spellEnd"/>
      <w:r>
        <w:rPr>
          <w:rFonts w:ascii="Calibri" w:eastAsia="Calibri" w:hAnsi="Calibri" w:cs="Calibri"/>
        </w:rPr>
        <w:t xml:space="preserve"> President.</w:t>
      </w:r>
    </w:p>
    <w:p w:rsidR="00DA780F" w:rsidRDefault="00DA780F">
      <w:pPr>
        <w:pStyle w:val="BodyA"/>
        <w:jc w:val="both"/>
        <w:rPr>
          <w:rFonts w:ascii="Calibri" w:eastAsia="Calibri" w:hAnsi="Calibri" w:cs="Calibri"/>
        </w:rPr>
      </w:pPr>
      <w:r>
        <w:rPr>
          <w:rFonts w:ascii="Calibri" w:eastAsia="Calibri" w:hAnsi="Calibri" w:cs="Calibri"/>
        </w:rPr>
        <w:t xml:space="preserve">We welcome the chance to discuss the </w:t>
      </w:r>
      <w:r w:rsidR="00FB6AFB">
        <w:rPr>
          <w:rFonts w:ascii="Calibri" w:eastAsia="Calibri" w:hAnsi="Calibri" w:cs="Calibri"/>
        </w:rPr>
        <w:t>High Commissioner’s report on</w:t>
      </w:r>
      <w:r>
        <w:rPr>
          <w:rFonts w:ascii="Calibri" w:eastAsia="Calibri" w:hAnsi="Calibri" w:cs="Calibri"/>
        </w:rPr>
        <w:t xml:space="preserve"> Principles and </w:t>
      </w:r>
      <w:r w:rsidR="00FB6AFB">
        <w:rPr>
          <w:rFonts w:ascii="Calibri" w:eastAsia="Calibri" w:hAnsi="Calibri" w:cs="Calibri"/>
        </w:rPr>
        <w:t>Practical Guidance</w:t>
      </w:r>
      <w:r>
        <w:rPr>
          <w:rFonts w:ascii="Calibri" w:eastAsia="Calibri" w:hAnsi="Calibri" w:cs="Calibri"/>
        </w:rPr>
        <w:t xml:space="preserve"> on </w:t>
      </w:r>
      <w:r w:rsidR="00FB6AFB">
        <w:rPr>
          <w:rFonts w:ascii="Calibri" w:eastAsia="Calibri" w:hAnsi="Calibri" w:cs="Calibri"/>
        </w:rPr>
        <w:t>the protection of the human rights of migrants in vulnerable situations, A/HRC/34/31</w:t>
      </w:r>
      <w:r>
        <w:rPr>
          <w:rFonts w:ascii="Calibri" w:eastAsia="Calibri" w:hAnsi="Calibri" w:cs="Calibri"/>
        </w:rPr>
        <w:t>.</w:t>
      </w:r>
    </w:p>
    <w:p w:rsidR="001F1BBD" w:rsidRDefault="00E15DD9">
      <w:pPr>
        <w:pStyle w:val="BodyA"/>
        <w:jc w:val="both"/>
      </w:pPr>
      <w:r>
        <w:rPr>
          <w:rFonts w:ascii="Calibri" w:eastAsia="Calibri" w:hAnsi="Calibri" w:cs="Calibri"/>
        </w:rPr>
        <w:t xml:space="preserve">Since 2015, </w:t>
      </w:r>
      <w:bookmarkStart w:id="0" w:name="_DdeLink__15_2111413088"/>
      <w:r>
        <w:rPr>
          <w:rFonts w:ascii="Calibri" w:eastAsia="Calibri" w:hAnsi="Calibri" w:cs="Calibri"/>
        </w:rPr>
        <w:t>approximately</w:t>
      </w:r>
      <w:bookmarkEnd w:id="0"/>
      <w:r>
        <w:rPr>
          <w:rFonts w:ascii="Calibri" w:eastAsia="Calibri" w:hAnsi="Calibri" w:cs="Calibri"/>
        </w:rPr>
        <w:t xml:space="preserve"> 700,000 migrants crossed through Serbia</w:t>
      </w:r>
      <w:r w:rsidR="00DA780F">
        <w:rPr>
          <w:rFonts w:ascii="Calibri" w:eastAsia="Calibri" w:hAnsi="Calibri" w:cs="Calibri"/>
        </w:rPr>
        <w:t>, many unaccompanied children</w:t>
      </w:r>
      <w:r>
        <w:rPr>
          <w:rFonts w:ascii="Calibri" w:eastAsia="Calibri" w:hAnsi="Calibri" w:cs="Calibri"/>
        </w:rPr>
        <w:t xml:space="preserve">. </w:t>
      </w:r>
      <w:r w:rsidR="00DA780F">
        <w:rPr>
          <w:rFonts w:ascii="Calibri" w:eastAsia="Calibri" w:hAnsi="Calibri" w:cs="Calibri"/>
        </w:rPr>
        <w:t>While groups on the ground do acknowledge the Government’s response</w:t>
      </w:r>
      <w:r>
        <w:rPr>
          <w:rFonts w:ascii="Calibri" w:eastAsia="Calibri" w:hAnsi="Calibri" w:cs="Calibri"/>
        </w:rPr>
        <w:t xml:space="preserve">, we are concerned that </w:t>
      </w:r>
      <w:r w:rsidR="00DA780F">
        <w:rPr>
          <w:rFonts w:ascii="Calibri" w:eastAsia="Calibri" w:hAnsi="Calibri" w:cs="Calibri"/>
        </w:rPr>
        <w:t xml:space="preserve">protection </w:t>
      </w:r>
      <w:r>
        <w:rPr>
          <w:rFonts w:ascii="Calibri" w:eastAsia="Calibri" w:hAnsi="Calibri" w:cs="Calibri"/>
        </w:rPr>
        <w:t>gaps remain</w:t>
      </w:r>
      <w:r w:rsidR="00DA780F">
        <w:rPr>
          <w:rFonts w:ascii="Calibri" w:eastAsia="Calibri" w:hAnsi="Calibri" w:cs="Calibri"/>
        </w:rPr>
        <w:t>. We are also concerned</w:t>
      </w:r>
      <w:r>
        <w:rPr>
          <w:rFonts w:ascii="Calibri" w:eastAsia="Calibri" w:hAnsi="Calibri" w:cs="Calibri"/>
        </w:rPr>
        <w:t xml:space="preserve"> that, when they work to fill those gaps, human rights defenders and </w:t>
      </w:r>
      <w:proofErr w:type="spellStart"/>
      <w:r>
        <w:rPr>
          <w:rFonts w:ascii="Calibri" w:eastAsia="Calibri" w:hAnsi="Calibri" w:cs="Calibri"/>
        </w:rPr>
        <w:t>organisations</w:t>
      </w:r>
      <w:proofErr w:type="spellEnd"/>
      <w:r>
        <w:rPr>
          <w:rFonts w:ascii="Calibri" w:eastAsia="Calibri" w:hAnsi="Calibri" w:cs="Calibri"/>
        </w:rPr>
        <w:t xml:space="preserve"> in Serbia face obstacles to their work.</w:t>
      </w:r>
    </w:p>
    <w:p w:rsidR="001F1BBD" w:rsidRDefault="00E15DD9">
      <w:pPr>
        <w:pStyle w:val="BodyA"/>
        <w:jc w:val="both"/>
      </w:pPr>
      <w:r>
        <w:rPr>
          <w:rFonts w:ascii="Calibri" w:eastAsia="Calibri" w:hAnsi="Calibri" w:cs="Calibri"/>
        </w:rPr>
        <w:t>First, du</w:t>
      </w:r>
      <w:r w:rsidR="00DA780F">
        <w:rPr>
          <w:rFonts w:ascii="Calibri" w:eastAsia="Calibri" w:hAnsi="Calibri" w:cs="Calibri"/>
        </w:rPr>
        <w:t xml:space="preserve">ring the registration process, </w:t>
      </w:r>
      <w:r>
        <w:rPr>
          <w:rFonts w:ascii="Calibri" w:eastAsia="Calibri" w:hAnsi="Calibri" w:cs="Calibri"/>
        </w:rPr>
        <w:t xml:space="preserve">unaccompanied children </w:t>
      </w:r>
      <w:r w:rsidR="00DA780F">
        <w:rPr>
          <w:rFonts w:ascii="Calibri" w:eastAsia="Calibri" w:hAnsi="Calibri" w:cs="Calibri"/>
        </w:rPr>
        <w:t xml:space="preserve">have been </w:t>
      </w:r>
      <w:r>
        <w:rPr>
          <w:rFonts w:ascii="Calibri" w:eastAsia="Calibri" w:hAnsi="Calibri" w:cs="Calibri"/>
        </w:rPr>
        <w:t>arbitrarily registered as being of legal age. When there are shortcomings in age assessment, children may not be able to access the protections they need and to which they are entitled.</w:t>
      </w:r>
    </w:p>
    <w:p w:rsidR="001F1BBD" w:rsidRDefault="00DA780F">
      <w:pPr>
        <w:pStyle w:val="BodyA"/>
        <w:jc w:val="both"/>
        <w:rPr>
          <w:rFonts w:ascii="Calibri" w:eastAsia="Calibri" w:hAnsi="Calibri" w:cs="Calibri"/>
        </w:rPr>
      </w:pPr>
      <w:r>
        <w:rPr>
          <w:rFonts w:ascii="Calibri" w:eastAsia="Calibri" w:hAnsi="Calibri" w:cs="Calibri"/>
        </w:rPr>
        <w:t xml:space="preserve">Many Social Welfare </w:t>
      </w:r>
      <w:proofErr w:type="spellStart"/>
      <w:r>
        <w:rPr>
          <w:rFonts w:ascii="Calibri" w:eastAsia="Calibri" w:hAnsi="Calibri" w:cs="Calibri"/>
        </w:rPr>
        <w:t>Centres</w:t>
      </w:r>
      <w:proofErr w:type="spellEnd"/>
      <w:r>
        <w:rPr>
          <w:rFonts w:ascii="Calibri" w:eastAsia="Calibri" w:hAnsi="Calibri" w:cs="Calibri"/>
        </w:rPr>
        <w:t xml:space="preserve"> are staffed with dedicated</w:t>
      </w:r>
      <w:r w:rsidR="00E15DD9">
        <w:rPr>
          <w:rFonts w:ascii="Calibri" w:eastAsia="Calibri" w:hAnsi="Calibri" w:cs="Calibri"/>
        </w:rPr>
        <w:t xml:space="preserve"> social workers who tirelessly seek to provide guardianship and suppo</w:t>
      </w:r>
      <w:r>
        <w:rPr>
          <w:rFonts w:ascii="Calibri" w:eastAsia="Calibri" w:hAnsi="Calibri" w:cs="Calibri"/>
        </w:rPr>
        <w:t>rt in the child’s best interest, but</w:t>
      </w:r>
      <w:r w:rsidR="00E15DD9">
        <w:rPr>
          <w:rFonts w:ascii="Calibri" w:eastAsia="Calibri" w:hAnsi="Calibri" w:cs="Calibri"/>
        </w:rPr>
        <w:t xml:space="preserve"> this is unfortunately not the case for all. The quality of the services provided need to be consistent across jurisdictions, and enhanced so as to meet both domes</w:t>
      </w:r>
      <w:r>
        <w:rPr>
          <w:rFonts w:ascii="Calibri" w:eastAsia="Calibri" w:hAnsi="Calibri" w:cs="Calibri"/>
        </w:rPr>
        <w:t>tic and international standards. For example, fa</w:t>
      </w:r>
      <w:r w:rsidR="00E15DD9">
        <w:rPr>
          <w:rFonts w:ascii="Calibri" w:eastAsia="Calibri" w:hAnsi="Calibri" w:cs="Calibri"/>
        </w:rPr>
        <w:t>r greater efforts need to be made to ensure formal education to all migrant children, unaccompanied or otherwise. In Serbia currently, only a small part of th</w:t>
      </w:r>
      <w:r>
        <w:rPr>
          <w:rFonts w:ascii="Calibri" w:eastAsia="Calibri" w:hAnsi="Calibri" w:cs="Calibri"/>
        </w:rPr>
        <w:t>is</w:t>
      </w:r>
      <w:r w:rsidR="00E15DD9">
        <w:rPr>
          <w:rFonts w:ascii="Calibri" w:eastAsia="Calibri" w:hAnsi="Calibri" w:cs="Calibri"/>
        </w:rPr>
        <w:t xml:space="preserve"> population attend schools regularly. </w:t>
      </w:r>
    </w:p>
    <w:p w:rsidR="00994A81" w:rsidRDefault="00E15DD9">
      <w:pPr>
        <w:pStyle w:val="BodyA"/>
        <w:jc w:val="both"/>
        <w:rPr>
          <w:rFonts w:ascii="Calibri" w:eastAsia="Calibri" w:hAnsi="Calibri" w:cs="Calibri"/>
        </w:rPr>
      </w:pPr>
      <w:r>
        <w:rPr>
          <w:rFonts w:ascii="Calibri" w:eastAsia="Calibri" w:hAnsi="Calibri" w:cs="Calibri"/>
        </w:rPr>
        <w:t xml:space="preserve">Finally, we want to emphasize the critical role that </w:t>
      </w:r>
      <w:r w:rsidR="00DA780F">
        <w:rPr>
          <w:rFonts w:ascii="Calibri" w:eastAsia="Calibri" w:hAnsi="Calibri" w:cs="Calibri"/>
        </w:rPr>
        <w:t xml:space="preserve">civil society </w:t>
      </w:r>
      <w:proofErr w:type="spellStart"/>
      <w:r>
        <w:rPr>
          <w:rFonts w:ascii="Calibri" w:eastAsia="Calibri" w:hAnsi="Calibri" w:cs="Calibri"/>
        </w:rPr>
        <w:t>organisations</w:t>
      </w:r>
      <w:proofErr w:type="spellEnd"/>
      <w:r>
        <w:rPr>
          <w:rFonts w:ascii="Calibri" w:eastAsia="Calibri" w:hAnsi="Calibri" w:cs="Calibri"/>
        </w:rPr>
        <w:t xml:space="preserve"> can play, including by providing services when the government cannot. Despite this fact, some </w:t>
      </w:r>
      <w:r w:rsidR="00994A81">
        <w:rPr>
          <w:rFonts w:ascii="Calibri" w:eastAsia="Calibri" w:hAnsi="Calibri" w:cs="Calibri"/>
        </w:rPr>
        <w:t>NGOs</w:t>
      </w:r>
      <w:r w:rsidR="00DA780F">
        <w:rPr>
          <w:rFonts w:ascii="Calibri" w:eastAsia="Calibri" w:hAnsi="Calibri" w:cs="Calibri"/>
        </w:rPr>
        <w:t xml:space="preserve"> in Serbia r</w:t>
      </w:r>
      <w:r w:rsidR="00994A81">
        <w:rPr>
          <w:rFonts w:ascii="Calibri" w:eastAsia="Calibri" w:hAnsi="Calibri" w:cs="Calibri"/>
        </w:rPr>
        <w:t xml:space="preserve">eport being denied </w:t>
      </w:r>
      <w:r>
        <w:rPr>
          <w:rFonts w:ascii="Calibri" w:eastAsia="Calibri" w:hAnsi="Calibri" w:cs="Calibri"/>
        </w:rPr>
        <w:t>access to facilities</w:t>
      </w:r>
      <w:r w:rsidR="00DA780F">
        <w:rPr>
          <w:rFonts w:ascii="Calibri" w:eastAsia="Calibri" w:hAnsi="Calibri" w:cs="Calibri"/>
        </w:rPr>
        <w:t xml:space="preserve"> and information necessary for their work</w:t>
      </w:r>
      <w:r>
        <w:rPr>
          <w:rFonts w:ascii="Calibri" w:eastAsia="Calibri" w:hAnsi="Calibri" w:cs="Calibri"/>
        </w:rPr>
        <w:t xml:space="preserve">. </w:t>
      </w:r>
    </w:p>
    <w:p w:rsidR="001F1BBD" w:rsidRDefault="00E15DD9">
      <w:pPr>
        <w:pStyle w:val="BodyA"/>
        <w:jc w:val="both"/>
      </w:pPr>
      <w:r>
        <w:rPr>
          <w:rFonts w:ascii="Calibri" w:eastAsia="Calibri" w:hAnsi="Calibri" w:cs="Calibri"/>
        </w:rPr>
        <w:t>We are also worried about legal constraints. A draft Law on Free Legal Aid has been mired in</w:t>
      </w:r>
      <w:r w:rsidR="00DA780F">
        <w:rPr>
          <w:rFonts w:ascii="Calibri" w:eastAsia="Calibri" w:hAnsi="Calibri" w:cs="Calibri"/>
        </w:rPr>
        <w:t xml:space="preserve"> Serbian</w:t>
      </w:r>
      <w:r>
        <w:rPr>
          <w:rFonts w:ascii="Calibri" w:eastAsia="Calibri" w:hAnsi="Calibri" w:cs="Calibri"/>
        </w:rPr>
        <w:t xml:space="preserve"> Parliament for some years. We worry that </w:t>
      </w:r>
      <w:r w:rsidR="00DA780F">
        <w:rPr>
          <w:rFonts w:ascii="Calibri" w:eastAsia="Calibri" w:hAnsi="Calibri" w:cs="Calibri"/>
        </w:rPr>
        <w:t>the Law</w:t>
      </w:r>
      <w:r>
        <w:rPr>
          <w:rFonts w:ascii="Calibri" w:eastAsia="Calibri" w:hAnsi="Calibri" w:cs="Calibri"/>
        </w:rPr>
        <w:t xml:space="preserve"> could have a serious impact on activities of all NGOs that provide legal aid services in cases of human rights violations. </w:t>
      </w:r>
    </w:p>
    <w:p w:rsidR="001F1BBD" w:rsidRDefault="00E15DD9">
      <w:pPr>
        <w:pStyle w:val="BodyA"/>
        <w:jc w:val="both"/>
        <w:rPr>
          <w:rFonts w:ascii="Calibri" w:eastAsia="Calibri" w:hAnsi="Calibri" w:cs="Calibri"/>
        </w:rPr>
      </w:pPr>
      <w:r>
        <w:rPr>
          <w:rFonts w:ascii="Calibri" w:eastAsia="Calibri" w:hAnsi="Calibri" w:cs="Calibri"/>
        </w:rPr>
        <w:t xml:space="preserve">We note that in </w:t>
      </w:r>
      <w:r w:rsidR="00DA780F">
        <w:rPr>
          <w:rFonts w:ascii="Calibri" w:eastAsia="Calibri" w:hAnsi="Calibri" w:cs="Calibri"/>
        </w:rPr>
        <w:t xml:space="preserve">the </w:t>
      </w:r>
      <w:r w:rsidR="00FB6AFB">
        <w:rPr>
          <w:rFonts w:ascii="Calibri" w:eastAsia="Calibri" w:hAnsi="Calibri" w:cs="Calibri"/>
        </w:rPr>
        <w:t>High Commissioner’s report</w:t>
      </w:r>
      <w:r>
        <w:rPr>
          <w:rFonts w:ascii="Calibri" w:eastAsia="Calibri" w:hAnsi="Calibri" w:cs="Calibri"/>
        </w:rPr>
        <w:t xml:space="preserve">, Principle 18 clearly states that governments should ‘respect and support the activities of human rights defenders and others working to rescue and provide assistance to migrants’. </w:t>
      </w:r>
    </w:p>
    <w:p w:rsidR="001F1BBD" w:rsidRDefault="00E15DD9">
      <w:pPr>
        <w:pStyle w:val="BodyA"/>
        <w:jc w:val="both"/>
      </w:pPr>
      <w:r>
        <w:rPr>
          <w:rFonts w:ascii="Calibri" w:eastAsia="Calibri" w:hAnsi="Calibri" w:cs="Calibri"/>
        </w:rPr>
        <w:t xml:space="preserve">We urge delegations to take the </w:t>
      </w:r>
      <w:r w:rsidR="00FB6AFB">
        <w:rPr>
          <w:rFonts w:ascii="Calibri" w:eastAsia="Calibri" w:hAnsi="Calibri" w:cs="Calibri"/>
        </w:rPr>
        <w:t>principle and guidance</w:t>
      </w:r>
      <w:r>
        <w:rPr>
          <w:rFonts w:ascii="Calibri" w:eastAsia="Calibri" w:hAnsi="Calibri" w:cs="Calibri"/>
        </w:rPr>
        <w:t xml:space="preserve"> prepared by the OHC</w:t>
      </w:r>
      <w:r w:rsidR="00994A81">
        <w:rPr>
          <w:rFonts w:ascii="Calibri" w:eastAsia="Calibri" w:hAnsi="Calibri" w:cs="Calibri"/>
        </w:rPr>
        <w:t>HR</w:t>
      </w:r>
      <w:r>
        <w:rPr>
          <w:rFonts w:ascii="Calibri" w:eastAsia="Calibri" w:hAnsi="Calibri" w:cs="Calibri"/>
        </w:rPr>
        <w:t xml:space="preserve"> </w:t>
      </w:r>
      <w:r w:rsidR="00994A81">
        <w:rPr>
          <w:rFonts w:ascii="Calibri" w:eastAsia="Calibri" w:hAnsi="Calibri" w:cs="Calibri"/>
        </w:rPr>
        <w:t>under</w:t>
      </w:r>
      <w:r>
        <w:rPr>
          <w:rFonts w:ascii="Calibri" w:eastAsia="Calibri" w:hAnsi="Calibri" w:cs="Calibri"/>
        </w:rPr>
        <w:t xml:space="preserve"> </w:t>
      </w:r>
      <w:r w:rsidR="00DA780F">
        <w:rPr>
          <w:rFonts w:ascii="Calibri" w:eastAsia="Calibri" w:hAnsi="Calibri" w:cs="Calibri"/>
        </w:rPr>
        <w:t xml:space="preserve">serious </w:t>
      </w:r>
      <w:r>
        <w:rPr>
          <w:rFonts w:ascii="Calibri" w:eastAsia="Calibri" w:hAnsi="Calibri" w:cs="Calibri"/>
        </w:rPr>
        <w:t xml:space="preserve">consideration, and to use them to act now to address the situation of </w:t>
      </w:r>
      <w:r w:rsidR="00994A81">
        <w:rPr>
          <w:rFonts w:ascii="Calibri" w:eastAsia="Calibri" w:hAnsi="Calibri" w:cs="Calibri"/>
        </w:rPr>
        <w:t>migrants</w:t>
      </w:r>
      <w:r w:rsidR="00DA780F">
        <w:rPr>
          <w:rFonts w:ascii="Calibri" w:eastAsia="Calibri" w:hAnsi="Calibri" w:cs="Calibri"/>
        </w:rPr>
        <w:t>. This includes supporting – not suppressing – the work of those who seek to defend migrants’ rights and to provide them wi</w:t>
      </w:r>
      <w:r w:rsidR="00FB6AFB">
        <w:rPr>
          <w:rFonts w:ascii="Calibri" w:eastAsia="Calibri" w:hAnsi="Calibri" w:cs="Calibri"/>
        </w:rPr>
        <w:t>th</w:t>
      </w:r>
      <w:r w:rsidR="00DA780F">
        <w:rPr>
          <w:rFonts w:ascii="Calibri" w:eastAsia="Calibri" w:hAnsi="Calibri" w:cs="Calibri"/>
        </w:rPr>
        <w:t xml:space="preserve"> life-chan</w:t>
      </w:r>
      <w:r w:rsidR="00FB6AFB">
        <w:rPr>
          <w:rFonts w:ascii="Calibri" w:eastAsia="Calibri" w:hAnsi="Calibri" w:cs="Calibri"/>
        </w:rPr>
        <w:t>g</w:t>
      </w:r>
      <w:r w:rsidR="00DA780F">
        <w:rPr>
          <w:rFonts w:ascii="Calibri" w:eastAsia="Calibri" w:hAnsi="Calibri" w:cs="Calibri"/>
        </w:rPr>
        <w:t>ing, and sometimes life-saving, assistance</w:t>
      </w:r>
      <w:r>
        <w:rPr>
          <w:rFonts w:ascii="Calibri" w:eastAsia="Calibri" w:hAnsi="Calibri" w:cs="Calibri"/>
        </w:rPr>
        <w:t>.</w:t>
      </w:r>
      <w:r>
        <w:t xml:space="preserve"> </w:t>
      </w:r>
    </w:p>
    <w:p w:rsidR="00CF6541" w:rsidRDefault="00CF6541">
      <w:pPr>
        <w:pStyle w:val="BodyA"/>
        <w:jc w:val="both"/>
      </w:pPr>
      <w:r>
        <w:t>Thank you.</w:t>
      </w:r>
      <w:bookmarkStart w:id="1" w:name="_GoBack"/>
      <w:bookmarkEnd w:id="1"/>
    </w:p>
    <w:sectPr w:rsidR="00CF6541">
      <w:headerReference w:type="default" r:id="rId7"/>
      <w:footerReference w:type="default" r:id="rId8"/>
      <w:pgSz w:w="11900" w:h="16840"/>
      <w:pgMar w:top="1134" w:right="1134" w:bottom="1134" w:left="1134" w:header="709" w:footer="850" w:gutter="0"/>
      <w:cols w:space="720"/>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B49" w:rsidRDefault="002A2B49">
      <w:r>
        <w:separator/>
      </w:r>
    </w:p>
  </w:endnote>
  <w:endnote w:type="continuationSeparator" w:id="0">
    <w:p w:rsidR="002A2B49" w:rsidRDefault="002A2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BBD" w:rsidRDefault="001F1BBD">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B49" w:rsidRDefault="002A2B49">
      <w:r>
        <w:separator/>
      </w:r>
    </w:p>
  </w:footnote>
  <w:footnote w:type="continuationSeparator" w:id="0">
    <w:p w:rsidR="002A2B49" w:rsidRDefault="002A2B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BBD" w:rsidRDefault="001F1BB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BBD"/>
    <w:rsid w:val="001F1BBD"/>
    <w:rsid w:val="002A2B49"/>
    <w:rsid w:val="00994A81"/>
    <w:rsid w:val="00CF6541"/>
    <w:rsid w:val="00DA780F"/>
    <w:rsid w:val="00E15DD9"/>
    <w:rsid w:val="00FB6AF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62F66A-41C1-4ECB-8D98-5E052F96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CH"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keepNext/>
      <w:shd w:val="clear" w:color="auto" w:fill="FFFFFF"/>
      <w:spacing w:before="280" w:after="280"/>
    </w:pPr>
    <w:rPr>
      <w:rFonts w:ascii="Helvetica" w:hAnsi="Helvetica" w:cs="Arial Unicode MS"/>
      <w:color w:val="000000"/>
      <w:sz w:val="22"/>
      <w:szCs w:val="22"/>
      <w:u w:color="00000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390</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Brooks</dc:creator>
  <cp:lastModifiedBy>Sarah Brooks</cp:lastModifiedBy>
  <cp:revision>3</cp:revision>
  <dcterms:created xsi:type="dcterms:W3CDTF">2017-03-09T19:12:00Z</dcterms:created>
  <dcterms:modified xsi:type="dcterms:W3CDTF">2017-03-09T19:14:00Z</dcterms:modified>
</cp:coreProperties>
</file>